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A1" w:rsidRDefault="00660B80" w:rsidP="00674DA1">
      <w:pPr>
        <w:spacing w:line="288" w:lineRule="auto"/>
        <w:ind w:left="426" w:hanging="426"/>
        <w:jc w:val="center"/>
        <w:rPr>
          <w:rFonts w:ascii="Garamond" w:hAnsi="Garamond" w:cs="Garamond"/>
          <w:b/>
          <w:bCs/>
          <w:u w:val="single"/>
        </w:rPr>
      </w:pPr>
      <w:r>
        <w:rPr>
          <w:rFonts w:ascii="Garamond" w:hAnsi="Garamond" w:cs="Garamond"/>
          <w:b/>
          <w:bCs/>
          <w:noProof/>
          <w:lang w:val="fr-BE" w:eastAsia="fr-BE"/>
        </w:rPr>
        <w:t xml:space="preserve">  </w:t>
      </w:r>
      <w:r w:rsidRPr="00660B80">
        <w:rPr>
          <w:rFonts w:ascii="Garamond" w:hAnsi="Garamond" w:cs="Garamond"/>
          <w:b/>
          <w:bCs/>
          <w:noProof/>
          <w:lang w:val="fr-BE" w:eastAsia="fr-BE"/>
        </w:rPr>
        <w:drawing>
          <wp:inline distT="0" distB="0" distL="0" distR="0" wp14:anchorId="6896016F" wp14:editId="5DC1F09D">
            <wp:extent cx="457200" cy="489221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FWB_Verti_Quadr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707" cy="48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aramond" w:hAnsi="Garamond" w:cs="Garamond"/>
          <w:b/>
          <w:bCs/>
          <w:noProof/>
          <w:lang w:val="fr-BE" w:eastAsia="fr-BE"/>
        </w:rPr>
        <w:t xml:space="preserve">         </w:t>
      </w:r>
      <w:r w:rsidR="00674DA1">
        <w:rPr>
          <w:rFonts w:ascii="Garamond" w:hAnsi="Garamond" w:cs="Garamond"/>
          <w:b/>
          <w:noProof/>
          <w:lang w:val="fr-BE" w:eastAsia="fr-BE"/>
        </w:rPr>
        <w:drawing>
          <wp:inline distT="0" distB="0" distL="0" distR="0" wp14:anchorId="41A57A48" wp14:editId="0450EBF5">
            <wp:extent cx="1771650" cy="838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0B80">
        <w:rPr>
          <w:rFonts w:ascii="Garamond" w:hAnsi="Garamond" w:cs="Garamond"/>
          <w:b/>
          <w:bCs/>
          <w:noProof/>
          <w:lang w:val="fr-BE" w:eastAsia="fr-BE"/>
        </w:rPr>
        <w:t xml:space="preserve">     </w:t>
      </w:r>
      <w:r>
        <w:rPr>
          <w:rFonts w:ascii="Garamond" w:hAnsi="Garamond" w:cs="Garamond"/>
          <w:b/>
          <w:bCs/>
          <w:noProof/>
          <w:lang w:val="fr-BE" w:eastAsia="fr-BE"/>
        </w:rPr>
        <w:t xml:space="preserve"> </w:t>
      </w:r>
      <w:r w:rsidRPr="00660B80">
        <w:rPr>
          <w:rFonts w:ascii="Garamond" w:hAnsi="Garamond" w:cs="Garamond"/>
          <w:b/>
          <w:bCs/>
          <w:noProof/>
          <w:lang w:val="fr-BE" w:eastAsia="fr-BE"/>
        </w:rPr>
        <w:drawing>
          <wp:inline distT="0" distB="0" distL="0" distR="0" wp14:anchorId="3CC988A1" wp14:editId="1A8B590A">
            <wp:extent cx="904875" cy="34520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tion Judaïsme Belgiq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939" cy="34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271" w:rsidRDefault="00485271" w:rsidP="00674DA1">
      <w:pPr>
        <w:spacing w:line="288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674DA1" w:rsidRPr="00674DA1" w:rsidRDefault="00674DA1" w:rsidP="00674DA1">
      <w:pPr>
        <w:spacing w:line="288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674DA1">
        <w:rPr>
          <w:rFonts w:ascii="Calibri" w:hAnsi="Calibri" w:cs="Calibri"/>
          <w:b/>
          <w:bCs/>
          <w:sz w:val="28"/>
          <w:szCs w:val="28"/>
        </w:rPr>
        <w:t>Programme d’éducation à la citoyenneté du CCLJ en 2012</w:t>
      </w:r>
      <w:r w:rsidR="008E2F9B">
        <w:rPr>
          <w:rFonts w:ascii="Calibri" w:hAnsi="Calibri" w:cs="Calibri"/>
          <w:b/>
          <w:bCs/>
          <w:sz w:val="28"/>
          <w:szCs w:val="28"/>
        </w:rPr>
        <w:t>-</w:t>
      </w:r>
      <w:r w:rsidRPr="00674DA1">
        <w:rPr>
          <w:rFonts w:ascii="Calibri" w:hAnsi="Calibri" w:cs="Calibri"/>
          <w:b/>
          <w:bCs/>
          <w:sz w:val="28"/>
          <w:szCs w:val="28"/>
        </w:rPr>
        <w:t>2013</w:t>
      </w:r>
    </w:p>
    <w:p w:rsidR="00674DA1" w:rsidRDefault="00674DA1" w:rsidP="00674DA1">
      <w:pPr>
        <w:spacing w:line="288" w:lineRule="auto"/>
        <w:jc w:val="center"/>
        <w:rPr>
          <w:rFonts w:ascii="Calibri" w:hAnsi="Calibri" w:cs="Calibri"/>
          <w:b/>
          <w:bCs/>
          <w:color w:val="808080" w:themeColor="background1" w:themeShade="80"/>
          <w:sz w:val="26"/>
          <w:szCs w:val="26"/>
        </w:rPr>
      </w:pPr>
      <w:r w:rsidRPr="00674DA1">
        <w:rPr>
          <w:rFonts w:ascii="Calibri" w:hAnsi="Calibri" w:cs="Calibri"/>
          <w:b/>
          <w:bCs/>
          <w:color w:val="808080" w:themeColor="background1" w:themeShade="80"/>
          <w:sz w:val="26"/>
          <w:szCs w:val="26"/>
        </w:rPr>
        <w:t>CENTRE DE RESSOURCES FWB</w:t>
      </w:r>
      <w:r>
        <w:rPr>
          <w:rFonts w:ascii="Calibri" w:hAnsi="Calibri" w:cs="Calibri"/>
          <w:b/>
          <w:bCs/>
          <w:color w:val="808080" w:themeColor="background1" w:themeShade="80"/>
          <w:sz w:val="26"/>
          <w:szCs w:val="26"/>
        </w:rPr>
        <w:t xml:space="preserve"> – DECRET « MEMOIRE »</w:t>
      </w:r>
    </w:p>
    <w:p w:rsidR="00084083" w:rsidRDefault="00084083" w:rsidP="00674DA1">
      <w:pPr>
        <w:spacing w:line="288" w:lineRule="auto"/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</w:pPr>
    </w:p>
    <w:p w:rsidR="00674DA1" w:rsidRPr="00467E8B" w:rsidRDefault="00674DA1" w:rsidP="00674DA1">
      <w:pPr>
        <w:spacing w:line="288" w:lineRule="auto"/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</w:pPr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 xml:space="preserve">Dans le cadre de son programme d’éducation à la citoyenneté "La haine, je dis NON !" soutenu par la Fédération Wallonie-Bruxelles et  </w:t>
      </w:r>
      <w:smartTag w:uri="urn:schemas-microsoft-com:office:smarttags" w:element="PersonName">
        <w:smartTagPr>
          <w:attr w:name="ProductID" w:val="la Fondation"/>
        </w:smartTagPr>
        <w:r w:rsidRPr="00467E8B">
          <w:rPr>
            <w:rFonts w:asciiTheme="minorHAnsi" w:hAnsiTheme="minorHAnsi" w:cstheme="minorHAnsi"/>
            <w:i/>
            <w:color w:val="808080" w:themeColor="background1" w:themeShade="80"/>
            <w:sz w:val="22"/>
            <w:szCs w:val="22"/>
          </w:rPr>
          <w:t>la Fondation</w:t>
        </w:r>
      </w:smartTag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 xml:space="preserve"> du Judaïsme de</w:t>
      </w:r>
      <w:bookmarkStart w:id="0" w:name="_GoBack"/>
      <w:bookmarkEnd w:id="0"/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 xml:space="preserve"> Belgique, le Centre Communautaire Laïc Juif organise dans ses locaux pour près de 1000 étudiants de l’enseignement secondaire trois matinées et deux journées de sensibilisation à l’histoire des génocides du 20</w:t>
      </w:r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  <w:vertAlign w:val="superscript"/>
        </w:rPr>
        <w:t>e</w:t>
      </w:r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 xml:space="preserve"> siècle en lien avec l’éducation à la citoyenneté.</w:t>
      </w:r>
      <w:r w:rsidR="008E2F9B"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 xml:space="preserve"> </w:t>
      </w:r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>Deux</w:t>
      </w:r>
      <w:r w:rsidR="008E2F9B"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 xml:space="preserve"> </w:t>
      </w:r>
      <w:r w:rsidRPr="00467E8B">
        <w:rPr>
          <w:rFonts w:asciiTheme="minorHAnsi" w:hAnsiTheme="minorHAnsi" w:cstheme="minorHAnsi"/>
          <w:i/>
          <w:color w:val="808080" w:themeColor="background1" w:themeShade="80"/>
          <w:sz w:val="22"/>
          <w:szCs w:val="22"/>
        </w:rPr>
        <w:t>« Journées Mémoire » sont également programmées pour 160 étudiants de l’enseignement secondaire supérieur.</w:t>
      </w:r>
    </w:p>
    <w:p w:rsidR="00084083" w:rsidRDefault="00084083" w:rsidP="00674DA1">
      <w:pPr>
        <w:spacing w:line="288" w:lineRule="auto"/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</w:pPr>
    </w:p>
    <w:p w:rsidR="00674DA1" w:rsidRPr="00674DA1" w:rsidRDefault="00674DA1" w:rsidP="00674DA1">
      <w:pPr>
        <w:spacing w:line="288" w:lineRule="auto"/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</w:pP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>Pour les 1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vertAlign w:val="superscript"/>
        </w:rPr>
        <w:t>e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>, 2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vertAlign w:val="superscript"/>
        </w:rPr>
        <w:t>e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 xml:space="preserve"> et 3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vertAlign w:val="superscript"/>
        </w:rPr>
        <w:t>e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 xml:space="preserve"> secondaires :</w:t>
      </w:r>
    </w:p>
    <w:p w:rsidR="00674DA1" w:rsidRDefault="00674DA1" w:rsidP="00674DA1">
      <w:pPr>
        <w:pStyle w:val="Listepuce"/>
        <w:numPr>
          <w:ilvl w:val="0"/>
          <w:numId w:val="2"/>
        </w:numPr>
        <w:tabs>
          <w:tab w:val="num" w:pos="360"/>
        </w:tabs>
        <w:spacing w:line="288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jeudi 22 novembre 2012 de 8h45 à 13h – matinée consacrée à la Shoah</w:t>
      </w:r>
      <w:r>
        <w:rPr>
          <w:rFonts w:ascii="Calibri" w:hAnsi="Calibri" w:cs="Calibri"/>
          <w:b/>
          <w:bCs/>
          <w:sz w:val="22"/>
          <w:szCs w:val="22"/>
        </w:rPr>
        <w:t> :</w:t>
      </w:r>
      <w:r>
        <w:rPr>
          <w:rFonts w:ascii="Calibri" w:hAnsi="Calibri" w:cs="Calibri"/>
          <w:sz w:val="22"/>
          <w:szCs w:val="22"/>
        </w:rPr>
        <w:t xml:space="preserve"> projection du film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« Monsieur </w:t>
      </w:r>
      <w:proofErr w:type="spellStart"/>
      <w:r>
        <w:rPr>
          <w:rFonts w:ascii="Calibri" w:hAnsi="Calibri" w:cs="Calibri"/>
          <w:b/>
          <w:bCs/>
          <w:i/>
          <w:iCs/>
          <w:sz w:val="22"/>
          <w:szCs w:val="22"/>
        </w:rPr>
        <w:t>Batignole</w:t>
      </w:r>
      <w:proofErr w:type="spellEnd"/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 » </w:t>
      </w:r>
      <w:r>
        <w:rPr>
          <w:rFonts w:ascii="Calibri" w:hAnsi="Calibri" w:cs="Calibri"/>
          <w:sz w:val="22"/>
          <w:szCs w:val="22"/>
        </w:rPr>
        <w:t xml:space="preserve">de Gérard </w:t>
      </w:r>
      <w:proofErr w:type="spellStart"/>
      <w:r>
        <w:rPr>
          <w:rFonts w:ascii="Calibri" w:hAnsi="Calibri" w:cs="Calibri"/>
          <w:sz w:val="22"/>
          <w:szCs w:val="22"/>
        </w:rPr>
        <w:t>Jugnot</w:t>
      </w:r>
      <w:proofErr w:type="spellEnd"/>
      <w:r>
        <w:rPr>
          <w:rFonts w:ascii="Calibri" w:hAnsi="Calibri" w:cs="Calibri"/>
          <w:sz w:val="22"/>
          <w:szCs w:val="22"/>
        </w:rPr>
        <w:t xml:space="preserve">, témoignage de </w:t>
      </w:r>
      <w:r>
        <w:rPr>
          <w:rFonts w:ascii="Calibri" w:hAnsi="Calibri" w:cs="Calibri"/>
          <w:b/>
          <w:bCs/>
          <w:sz w:val="22"/>
          <w:szCs w:val="22"/>
        </w:rPr>
        <w:t xml:space="preserve">Sophie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Rechtman</w:t>
      </w:r>
      <w:proofErr w:type="spellEnd"/>
      <w:r>
        <w:rPr>
          <w:rFonts w:ascii="Calibri" w:hAnsi="Calibri" w:cs="Calibri"/>
          <w:sz w:val="22"/>
          <w:szCs w:val="22"/>
        </w:rPr>
        <w:t xml:space="preserve"> (enfant cachée à Bruxelles) suivi d’une discussion avec les étudiants.</w:t>
      </w:r>
    </w:p>
    <w:p w:rsidR="00674DA1" w:rsidRPr="00674DA1" w:rsidRDefault="00674DA1" w:rsidP="00674DA1">
      <w:pPr>
        <w:spacing w:line="288" w:lineRule="auto"/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</w:pP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>Pour les 4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vertAlign w:val="superscript"/>
        </w:rPr>
        <w:t>e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>, 5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vertAlign w:val="superscript"/>
        </w:rPr>
        <w:t xml:space="preserve">e 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>et 6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vertAlign w:val="superscript"/>
        </w:rPr>
        <w:t>e</w:t>
      </w:r>
      <w:r w:rsidRPr="00674DA1"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 xml:space="preserve"> secondaires</w:t>
      </w:r>
      <w:r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> :</w:t>
      </w:r>
    </w:p>
    <w:p w:rsidR="00674DA1" w:rsidRDefault="00674DA1" w:rsidP="00674DA1">
      <w:pPr>
        <w:pStyle w:val="Listepuce"/>
        <w:numPr>
          <w:ilvl w:val="0"/>
          <w:numId w:val="2"/>
        </w:numPr>
        <w:tabs>
          <w:tab w:val="num" w:pos="0"/>
        </w:tabs>
        <w:spacing w:line="288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jeudi 29 novembre 2012 de 8h30 à 16h - journée consacrée au génocide des Tutsi au Rwanda </w:t>
      </w:r>
      <w:r>
        <w:rPr>
          <w:rFonts w:ascii="Calibri" w:hAnsi="Calibri" w:cs="Calibri"/>
          <w:sz w:val="22"/>
          <w:szCs w:val="22"/>
        </w:rPr>
        <w:t xml:space="preserve">: projection du film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« </w:t>
      </w:r>
      <w:proofErr w:type="spellStart"/>
      <w:r>
        <w:rPr>
          <w:rFonts w:ascii="Calibri" w:hAnsi="Calibri" w:cs="Calibri"/>
          <w:b/>
          <w:bCs/>
          <w:i/>
          <w:iCs/>
          <w:sz w:val="22"/>
          <w:szCs w:val="22"/>
        </w:rPr>
        <w:t>Shooting</w:t>
      </w:r>
      <w:proofErr w:type="spellEnd"/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i/>
          <w:iCs/>
          <w:sz w:val="22"/>
          <w:szCs w:val="22"/>
        </w:rPr>
        <w:t>dogs</w:t>
      </w:r>
      <w:proofErr w:type="spellEnd"/>
      <w:r>
        <w:rPr>
          <w:rFonts w:ascii="Calibri" w:hAnsi="Calibri" w:cs="Calibri"/>
          <w:b/>
          <w:bCs/>
          <w:i/>
          <w:iCs/>
          <w:sz w:val="22"/>
          <w:szCs w:val="22"/>
        </w:rPr>
        <w:t> »</w:t>
      </w:r>
      <w:r>
        <w:rPr>
          <w:rFonts w:ascii="Calibri" w:hAnsi="Calibri" w:cs="Calibri"/>
          <w:sz w:val="22"/>
          <w:szCs w:val="22"/>
        </w:rPr>
        <w:t xml:space="preserve"> de Michael Caton-Jones, témoignage d’un survivant du génocide + discussion + ateliers d'éducation à la citoyenneté + séance plénière (sandwichs et boissons offerts).</w:t>
      </w:r>
    </w:p>
    <w:p w:rsidR="00674DA1" w:rsidRDefault="00674DA1" w:rsidP="00674DA1">
      <w:pPr>
        <w:pStyle w:val="Paragraphedeliste"/>
        <w:numPr>
          <w:ilvl w:val="0"/>
          <w:numId w:val="2"/>
        </w:numPr>
        <w:tabs>
          <w:tab w:val="num" w:pos="0"/>
        </w:tabs>
        <w:spacing w:line="288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mardi 5 mars 2013 de 9h30 à 13h - matinée consacrée au génocide des Tutsi au Rwanda 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 xml:space="preserve">projection du film documentaire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« Des cendres dans la tête »</w:t>
      </w:r>
      <w:r>
        <w:rPr>
          <w:rFonts w:ascii="Calibri" w:hAnsi="Calibri" w:cs="Calibri"/>
          <w:sz w:val="22"/>
          <w:szCs w:val="22"/>
        </w:rPr>
        <w:t xml:space="preserve"> de </w:t>
      </w:r>
      <w:r>
        <w:rPr>
          <w:rFonts w:ascii="Calibri" w:hAnsi="Calibri" w:cs="Calibri"/>
          <w:b/>
          <w:sz w:val="22"/>
          <w:szCs w:val="22"/>
        </w:rPr>
        <w:t>Patrick Severin</w:t>
      </w:r>
      <w:r>
        <w:rPr>
          <w:rFonts w:ascii="Calibri" w:hAnsi="Calibri" w:cs="Calibri"/>
          <w:sz w:val="22"/>
          <w:szCs w:val="22"/>
        </w:rPr>
        <w:t xml:space="preserve"> suivie d’une discussion avec le réalisateur.</w:t>
      </w:r>
    </w:p>
    <w:p w:rsidR="00674DA1" w:rsidRDefault="00674DA1" w:rsidP="00674DA1">
      <w:pPr>
        <w:pStyle w:val="Listepuce"/>
        <w:numPr>
          <w:ilvl w:val="0"/>
          <w:numId w:val="2"/>
        </w:numPr>
        <w:tabs>
          <w:tab w:val="num" w:pos="0"/>
        </w:tabs>
        <w:spacing w:line="288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mardi 12 mars 2013 de 9h30 à 13h - matinée consacrée au génocide des Arméniens</w:t>
      </w:r>
      <w:r>
        <w:rPr>
          <w:rFonts w:ascii="Calibri" w:hAnsi="Calibri" w:cs="Calibri"/>
          <w:b/>
          <w:bCs/>
          <w:sz w:val="22"/>
          <w:szCs w:val="22"/>
        </w:rPr>
        <w:t xml:space="preserve"> : </w:t>
      </w:r>
      <w:r>
        <w:rPr>
          <w:rFonts w:ascii="Calibri" w:hAnsi="Calibri" w:cs="Calibri"/>
          <w:sz w:val="22"/>
          <w:szCs w:val="22"/>
        </w:rPr>
        <w:t xml:space="preserve">projection du film documentaire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« Le génocide en moi » </w:t>
      </w:r>
      <w:r>
        <w:rPr>
          <w:rFonts w:ascii="Calibri" w:hAnsi="Calibri" w:cs="Calibri"/>
          <w:sz w:val="22"/>
          <w:szCs w:val="22"/>
        </w:rPr>
        <w:t xml:space="preserve">de </w:t>
      </w:r>
      <w:proofErr w:type="spellStart"/>
      <w:r>
        <w:rPr>
          <w:rFonts w:ascii="Calibri" w:hAnsi="Calibri" w:cs="Calibri"/>
          <w:sz w:val="22"/>
          <w:szCs w:val="22"/>
        </w:rPr>
        <w:t>Araz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Artinian</w:t>
      </w:r>
      <w:proofErr w:type="spellEnd"/>
      <w:r>
        <w:rPr>
          <w:rFonts w:ascii="Calibri" w:hAnsi="Calibri" w:cs="Calibri"/>
          <w:sz w:val="22"/>
          <w:szCs w:val="22"/>
        </w:rPr>
        <w:t xml:space="preserve"> et lecture par </w:t>
      </w:r>
      <w:r>
        <w:rPr>
          <w:rFonts w:ascii="Calibri" w:hAnsi="Calibri" w:cs="Calibri"/>
          <w:b/>
          <w:bCs/>
          <w:sz w:val="22"/>
          <w:szCs w:val="22"/>
        </w:rPr>
        <w:t xml:space="preserve">Caroline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Safarian</w:t>
      </w:r>
      <w:proofErr w:type="spellEnd"/>
      <w:r>
        <w:rPr>
          <w:rFonts w:ascii="Calibri" w:hAnsi="Calibri" w:cs="Calibri"/>
          <w:sz w:val="22"/>
          <w:szCs w:val="22"/>
        </w:rPr>
        <w:t xml:space="preserve">, auteure et comédienne, d’extraits de sa pièce de théâtre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« Papiers d’Arménie ou sans retour possible »</w:t>
      </w:r>
      <w:r>
        <w:rPr>
          <w:rFonts w:ascii="Calibri" w:hAnsi="Calibri" w:cs="Calibri"/>
          <w:sz w:val="22"/>
          <w:szCs w:val="22"/>
        </w:rPr>
        <w:t xml:space="preserve"> + discussion.</w:t>
      </w:r>
    </w:p>
    <w:p w:rsidR="00674DA1" w:rsidRDefault="00674DA1" w:rsidP="00674DA1">
      <w:pPr>
        <w:pStyle w:val="Listepuce"/>
        <w:numPr>
          <w:ilvl w:val="0"/>
          <w:numId w:val="2"/>
        </w:numPr>
        <w:tabs>
          <w:tab w:val="num" w:pos="0"/>
        </w:tabs>
        <w:spacing w:line="288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mardi 26 mars 2013 de 8h30 à 16h - journée consacrée à la Shoah </w:t>
      </w:r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projection du film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« Amen » </w:t>
      </w:r>
      <w:r>
        <w:rPr>
          <w:rFonts w:ascii="Calibri" w:hAnsi="Calibri" w:cs="Calibri"/>
          <w:sz w:val="22"/>
          <w:szCs w:val="22"/>
        </w:rPr>
        <w:t xml:space="preserve">de Constantin Costa-Gavras, témoignage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de </w:t>
      </w:r>
      <w:proofErr w:type="spellStart"/>
      <w:r>
        <w:rPr>
          <w:rFonts w:ascii="Calibri" w:hAnsi="Calibri" w:cs="Calibri"/>
          <w:b/>
          <w:bCs/>
          <w:sz w:val="22"/>
          <w:szCs w:val="22"/>
          <w:shd w:val="clear" w:color="auto" w:fill="FFFFFF" w:themeFill="background1"/>
        </w:rPr>
        <w:t>Shelomo</w:t>
      </w:r>
      <w:proofErr w:type="spellEnd"/>
      <w:r>
        <w:rPr>
          <w:rFonts w:ascii="Calibri" w:hAnsi="Calibri" w:cs="Calibri"/>
          <w:b/>
          <w:bCs/>
          <w:sz w:val="22"/>
          <w:szCs w:val="22"/>
          <w:shd w:val="clear" w:color="auto" w:fill="FFFFFF" w:themeFill="background1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shd w:val="clear" w:color="auto" w:fill="FFFFFF" w:themeFill="background1"/>
        </w:rPr>
        <w:t>Selinger</w:t>
      </w:r>
      <w:proofErr w:type="spellEnd"/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, sculpteur et dessinateur, survivant de la Shoah + </w:t>
      </w:r>
      <w:r>
        <w:rPr>
          <w:rFonts w:ascii="Calibri" w:hAnsi="Calibri" w:cs="Calibri"/>
          <w:sz w:val="22"/>
          <w:szCs w:val="22"/>
        </w:rPr>
        <w:t xml:space="preserve"> discussion + ateliers d'éducation à la citoyenneté + séance plénière (sandwichs et boissons offerts).</w:t>
      </w:r>
    </w:p>
    <w:p w:rsidR="00674DA1" w:rsidRDefault="00674DA1" w:rsidP="00674DA1">
      <w:pPr>
        <w:pStyle w:val="Listepuce"/>
        <w:numPr>
          <w:ilvl w:val="0"/>
          <w:numId w:val="2"/>
        </w:numPr>
        <w:tabs>
          <w:tab w:val="num" w:pos="0"/>
        </w:tabs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Journées Mémoire : mardi 14 mai et jeudi 16 mai 2013 de 8h30 à 17h *</w:t>
      </w:r>
      <w:r>
        <w:rPr>
          <w:rFonts w:ascii="Calibri" w:hAnsi="Calibri" w:cs="Calibri"/>
          <w:sz w:val="22"/>
          <w:szCs w:val="22"/>
        </w:rPr>
        <w:t xml:space="preserve">: visite de 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Kazerne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Dossin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Style w:val="Accentuation"/>
          <w:rFonts w:ascii="Calibri" w:hAnsi="Calibri" w:cs="Calibri"/>
          <w:sz w:val="22"/>
          <w:szCs w:val="22"/>
        </w:rPr>
        <w:t xml:space="preserve">Mémorial, Musée et Centre de Documentation sur l’Holocauste et les Droits de l’Homme </w:t>
      </w:r>
      <w:r>
        <w:rPr>
          <w:rFonts w:ascii="Calibri" w:hAnsi="Calibri" w:cs="Calibri"/>
          <w:sz w:val="22"/>
          <w:szCs w:val="22"/>
        </w:rPr>
        <w:t xml:space="preserve">(Malines) et du </w:t>
      </w:r>
      <w:r>
        <w:rPr>
          <w:rFonts w:ascii="Calibri" w:hAnsi="Calibri" w:cs="Calibri"/>
          <w:b/>
          <w:bCs/>
          <w:sz w:val="22"/>
          <w:szCs w:val="22"/>
        </w:rPr>
        <w:t>Mémorial national du Fort de Breendonk</w:t>
      </w:r>
      <w:r>
        <w:rPr>
          <w:rFonts w:ascii="Calibri" w:hAnsi="Calibri" w:cs="Calibri"/>
          <w:sz w:val="22"/>
          <w:szCs w:val="22"/>
        </w:rPr>
        <w:t xml:space="preserve"> (Willebroek) - bus et entrées pris en charge par le CCLJ.</w:t>
      </w:r>
    </w:p>
    <w:p w:rsidR="00674DA1" w:rsidRDefault="00674DA1" w:rsidP="00674DA1">
      <w:pPr>
        <w:spacing w:line="288" w:lineRule="auto"/>
        <w:ind w:left="360"/>
        <w:rPr>
          <w:rFonts w:ascii="Calibri" w:hAnsi="Calibri" w:cs="Calibri"/>
        </w:rPr>
      </w:pPr>
      <w:r>
        <w:rPr>
          <w:rFonts w:ascii="Courier New" w:hAnsi="Courier New" w:cs="Courier New"/>
          <w:sz w:val="18"/>
          <w:szCs w:val="18"/>
        </w:rPr>
        <w:t>* Afin de favoriser l’égalité des chances, les écoles ayant participé aux Journées Mémoire en 2010-2011 et 2011-2012 ne peuvent s’y inscrire cette année.</w:t>
      </w:r>
    </w:p>
    <w:p w:rsidR="00674DA1" w:rsidRPr="00467E8B" w:rsidRDefault="00674DA1" w:rsidP="008E2F9B">
      <w:pPr>
        <w:jc w:val="center"/>
        <w:rPr>
          <w:rFonts w:ascii="Calibri" w:hAnsi="Calibri" w:cs="Calibri"/>
          <w:color w:val="0070C0"/>
          <w:sz w:val="22"/>
          <w:szCs w:val="22"/>
        </w:rPr>
      </w:pPr>
      <w:r w:rsidRPr="00467E8B">
        <w:rPr>
          <w:rFonts w:ascii="Calibri" w:hAnsi="Calibri" w:cs="Calibri"/>
          <w:b/>
          <w:bCs/>
          <w:color w:val="0070C0"/>
          <w:sz w:val="22"/>
          <w:szCs w:val="22"/>
          <w:lang w:val="fr-BE"/>
        </w:rPr>
        <w:t>Une rencontre de 100’ devra être programmée avec les classes inscrites</w:t>
      </w:r>
      <w:r w:rsidR="008E2F9B" w:rsidRPr="00467E8B">
        <w:rPr>
          <w:rFonts w:ascii="Calibri" w:hAnsi="Calibri" w:cs="Calibri"/>
          <w:b/>
          <w:bCs/>
          <w:color w:val="0070C0"/>
          <w:sz w:val="22"/>
          <w:szCs w:val="22"/>
          <w:lang w:val="fr-BE"/>
        </w:rPr>
        <w:t xml:space="preserve"> </w:t>
      </w:r>
      <w:r w:rsidRPr="00467E8B">
        <w:rPr>
          <w:rFonts w:ascii="Calibri" w:hAnsi="Calibri" w:cs="Calibri"/>
          <w:b/>
          <w:bCs/>
          <w:color w:val="0070C0"/>
          <w:sz w:val="22"/>
          <w:szCs w:val="22"/>
          <w:lang w:val="fr-BE"/>
        </w:rPr>
        <w:t>avant leur venue au CCLJ ou avant la visite du lieu de mémoire</w:t>
      </w:r>
      <w:r w:rsidR="00467E8B" w:rsidRPr="00467E8B">
        <w:rPr>
          <w:rFonts w:ascii="Calibri" w:hAnsi="Calibri" w:cs="Calibri"/>
          <w:b/>
          <w:bCs/>
          <w:color w:val="0070C0"/>
          <w:sz w:val="22"/>
          <w:szCs w:val="22"/>
          <w:lang w:val="fr-BE"/>
        </w:rPr>
        <w:t xml:space="preserve">. </w:t>
      </w:r>
      <w:r w:rsidRPr="00467E8B">
        <w:rPr>
          <w:rFonts w:ascii="Calibri" w:hAnsi="Calibri" w:cs="Calibri"/>
          <w:b/>
          <w:bCs/>
          <w:color w:val="0070C0"/>
          <w:sz w:val="22"/>
          <w:szCs w:val="22"/>
          <w:lang w:val="fr-BE"/>
        </w:rPr>
        <w:t>Cette rencontre est obligatoire et inhérente au programme</w:t>
      </w:r>
      <w:r w:rsidR="00467E8B">
        <w:rPr>
          <w:rFonts w:ascii="Calibri" w:hAnsi="Calibri" w:cs="Calibri"/>
          <w:b/>
          <w:bCs/>
          <w:color w:val="0070C0"/>
          <w:sz w:val="22"/>
          <w:szCs w:val="22"/>
          <w:lang w:val="fr-BE"/>
        </w:rPr>
        <w:t xml:space="preserve">. </w:t>
      </w:r>
    </w:p>
    <w:p w:rsidR="00467E8B" w:rsidRPr="00467E8B" w:rsidRDefault="00467E8B" w:rsidP="00467E8B">
      <w:pPr>
        <w:jc w:val="center"/>
        <w:rPr>
          <w:rFonts w:ascii="Calibri" w:hAnsi="Calibri" w:cs="Calibri"/>
          <w:i/>
        </w:rPr>
      </w:pPr>
      <w:r w:rsidRPr="00467E8B">
        <w:rPr>
          <w:rFonts w:ascii="Calibri" w:hAnsi="Calibri" w:cs="Calibri"/>
          <w:i/>
        </w:rPr>
        <w:t>Chaque étudiant recevra un dossier pédagogique « Comprendre les génocides du 20</w:t>
      </w:r>
      <w:r w:rsidRPr="00467E8B">
        <w:rPr>
          <w:rFonts w:ascii="Calibri" w:hAnsi="Calibri" w:cs="Calibri"/>
          <w:i/>
          <w:vertAlign w:val="superscript"/>
        </w:rPr>
        <w:t>e</w:t>
      </w:r>
      <w:r w:rsidRPr="00467E8B">
        <w:rPr>
          <w:rFonts w:ascii="Calibri" w:hAnsi="Calibri" w:cs="Calibri"/>
          <w:i/>
        </w:rPr>
        <w:t xml:space="preserve"> siècle »</w:t>
      </w:r>
    </w:p>
    <w:p w:rsidR="00467E8B" w:rsidRDefault="00467E8B" w:rsidP="00467E8B">
      <w:pPr>
        <w:jc w:val="center"/>
        <w:rPr>
          <w:rFonts w:ascii="Calibri" w:hAnsi="Calibri" w:cs="Calibri"/>
          <w:sz w:val="22"/>
          <w:szCs w:val="22"/>
        </w:rPr>
      </w:pPr>
      <w:r w:rsidRPr="0088088E">
        <w:rPr>
          <w:rFonts w:ascii="Calibri" w:hAnsi="Calibri" w:cs="Calibri"/>
          <w:b/>
          <w:color w:val="FF0000"/>
        </w:rPr>
        <w:t>La participation au programme est gratuite</w:t>
      </w:r>
    </w:p>
    <w:p w:rsidR="00467E8B" w:rsidRDefault="00467E8B" w:rsidP="00674DA1">
      <w:pPr>
        <w:rPr>
          <w:rFonts w:ascii="Calibri" w:hAnsi="Calibri" w:cs="Calibri"/>
          <w:sz w:val="22"/>
          <w:szCs w:val="22"/>
        </w:rPr>
      </w:pPr>
    </w:p>
    <w:p w:rsidR="008E2F9B" w:rsidRPr="008E2F9B" w:rsidRDefault="008E2F9B" w:rsidP="00674DA1">
      <w:pPr>
        <w:rPr>
          <w:rFonts w:ascii="Calibri" w:hAnsi="Calibri" w:cs="Calibri"/>
          <w:sz w:val="22"/>
          <w:szCs w:val="22"/>
        </w:rPr>
      </w:pPr>
      <w:r w:rsidRPr="008E2F9B">
        <w:rPr>
          <w:rFonts w:ascii="Calibri" w:hAnsi="Calibri" w:cs="Calibri"/>
          <w:sz w:val="22"/>
          <w:szCs w:val="22"/>
        </w:rPr>
        <w:t xml:space="preserve">Le formulaire d’inscription </w:t>
      </w:r>
      <w:r w:rsidRPr="00084083">
        <w:rPr>
          <w:rFonts w:ascii="Calibri" w:hAnsi="Calibri" w:cs="Calibri"/>
          <w:color w:val="FF0000"/>
          <w:sz w:val="22"/>
          <w:szCs w:val="22"/>
        </w:rPr>
        <w:t>(</w:t>
      </w:r>
      <w:r w:rsidRPr="00084083">
        <w:rPr>
          <w:rFonts w:ascii="Calibri" w:hAnsi="Calibri" w:cs="Calibri"/>
          <w:color w:val="FF0000"/>
          <w:sz w:val="22"/>
          <w:szCs w:val="22"/>
          <w:u w:val="single"/>
        </w:rPr>
        <w:t>à envoyer uniquement par fax au 02/543 02 71</w:t>
      </w:r>
      <w:r w:rsidRPr="00084083">
        <w:rPr>
          <w:rFonts w:ascii="Calibri" w:hAnsi="Calibri" w:cs="Calibri"/>
          <w:color w:val="FF0000"/>
          <w:sz w:val="22"/>
          <w:szCs w:val="22"/>
        </w:rPr>
        <w:t>)</w:t>
      </w:r>
      <w:r w:rsidRPr="008E2F9B">
        <w:rPr>
          <w:rFonts w:ascii="Calibri" w:hAnsi="Calibri" w:cs="Calibri"/>
          <w:sz w:val="22"/>
          <w:szCs w:val="22"/>
        </w:rPr>
        <w:t xml:space="preserve"> est disponible sur le site </w:t>
      </w:r>
      <w:hyperlink r:id="rId9" w:history="1">
        <w:r w:rsidR="00660B80" w:rsidRPr="00EC4C95">
          <w:rPr>
            <w:rStyle w:val="Lienhypertexte"/>
            <w:rFonts w:ascii="Calibri" w:hAnsi="Calibri" w:cs="Calibri"/>
            <w:sz w:val="22"/>
            <w:szCs w:val="22"/>
          </w:rPr>
          <w:t>www.cclj.be</w:t>
        </w:r>
      </w:hyperlink>
      <w:r w:rsidRPr="008E2F9B">
        <w:rPr>
          <w:rFonts w:ascii="Calibri" w:hAnsi="Calibri" w:cs="Calibri"/>
          <w:sz w:val="22"/>
          <w:szCs w:val="22"/>
        </w:rPr>
        <w:t xml:space="preserve"> </w:t>
      </w:r>
      <w:r w:rsidR="0088088E">
        <w:rPr>
          <w:rFonts w:ascii="Calibri" w:hAnsi="Calibri" w:cs="Calibri"/>
          <w:sz w:val="22"/>
          <w:szCs w:val="22"/>
        </w:rPr>
        <w:t>(A</w:t>
      </w:r>
      <w:r w:rsidRPr="008E2F9B">
        <w:rPr>
          <w:rFonts w:ascii="Calibri" w:hAnsi="Calibri" w:cs="Calibri"/>
          <w:sz w:val="22"/>
          <w:szCs w:val="22"/>
        </w:rPr>
        <w:t xml:space="preserve">ctivités – Centre </w:t>
      </w:r>
      <w:r w:rsidR="00084083">
        <w:rPr>
          <w:rFonts w:ascii="Calibri" w:hAnsi="Calibri" w:cs="Calibri"/>
          <w:sz w:val="22"/>
          <w:szCs w:val="22"/>
        </w:rPr>
        <w:t>d’Education à la Citoyenneté – P</w:t>
      </w:r>
      <w:r w:rsidRPr="008E2F9B">
        <w:rPr>
          <w:rFonts w:ascii="Calibri" w:hAnsi="Calibri" w:cs="Calibri"/>
          <w:sz w:val="22"/>
          <w:szCs w:val="22"/>
        </w:rPr>
        <w:t>rogramme secondaire)</w:t>
      </w:r>
    </w:p>
    <w:p w:rsidR="00674DA1" w:rsidRDefault="008E2F9B" w:rsidP="00660B80">
      <w:pPr>
        <w:jc w:val="center"/>
        <w:rPr>
          <w:rFonts w:ascii="Calibri" w:hAnsi="Calibri" w:cs="Calibri"/>
          <w:sz w:val="22"/>
          <w:szCs w:val="22"/>
        </w:rPr>
      </w:pPr>
      <w:r w:rsidRPr="0088088E">
        <w:rPr>
          <w:rFonts w:ascii="Calibri" w:hAnsi="Calibri" w:cs="Calibri"/>
          <w:b/>
          <w:i/>
          <w:color w:val="808080" w:themeColor="background1" w:themeShade="80"/>
          <w:sz w:val="28"/>
          <w:szCs w:val="28"/>
        </w:rPr>
        <w:t>Plus d’informations ?</w:t>
      </w:r>
      <w:r w:rsidRPr="008E2F9B">
        <w:rPr>
          <w:rFonts w:ascii="Calibri" w:hAnsi="Calibri" w:cs="Calibri"/>
          <w:color w:val="808080" w:themeColor="background1" w:themeShade="80"/>
          <w:sz w:val="22"/>
          <w:szCs w:val="22"/>
        </w:rPr>
        <w:t xml:space="preserve"> </w:t>
      </w:r>
      <w:hyperlink r:id="rId10" w:history="1">
        <w:r w:rsidRPr="008E2F9B">
          <w:rPr>
            <w:rStyle w:val="Lienhypertexte"/>
            <w:rFonts w:ascii="Calibri" w:hAnsi="Calibri" w:cs="Calibri"/>
            <w:sz w:val="22"/>
            <w:szCs w:val="22"/>
          </w:rPr>
          <w:t>hn@cclj.be</w:t>
        </w:r>
      </w:hyperlink>
      <w:r w:rsidRPr="008E2F9B">
        <w:rPr>
          <w:rFonts w:ascii="Calibri" w:hAnsi="Calibri" w:cs="Calibri"/>
          <w:sz w:val="22"/>
          <w:szCs w:val="22"/>
        </w:rPr>
        <w:t xml:space="preserve"> ou 02/543 02 97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559"/>
        <w:gridCol w:w="7809"/>
      </w:tblGrid>
      <w:tr w:rsidR="0088088E" w:rsidRPr="00A87F1C" w:rsidTr="001437D5">
        <w:tc>
          <w:tcPr>
            <w:tcW w:w="2559" w:type="dxa"/>
          </w:tcPr>
          <w:p w:rsidR="0088088E" w:rsidRPr="004C7C69" w:rsidRDefault="0088088E" w:rsidP="001437D5">
            <w:pPr>
              <w:pStyle w:val="Pieddepage"/>
              <w:rPr>
                <w:rFonts w:ascii="Verdana" w:hAnsi="Verdana" w:cs="Verdana"/>
                <w:noProof/>
                <w:sz w:val="18"/>
                <w:szCs w:val="18"/>
                <w:lang w:val="fr-BE" w:eastAsia="fr-BE"/>
              </w:rPr>
            </w:pPr>
            <w:r>
              <w:rPr>
                <w:rFonts w:ascii="Verdana" w:hAnsi="Verdana" w:cs="Verdana"/>
                <w:noProof/>
                <w:sz w:val="18"/>
                <w:szCs w:val="18"/>
                <w:lang w:val="fr-BE" w:eastAsia="fr-BE"/>
              </w:rPr>
              <w:drawing>
                <wp:inline distT="0" distB="0" distL="0" distR="0" wp14:anchorId="5BB9767B" wp14:editId="75032B51">
                  <wp:extent cx="1485900" cy="314325"/>
                  <wp:effectExtent l="0" t="0" r="0" b="9525"/>
                  <wp:docPr id="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9" w:type="dxa"/>
          </w:tcPr>
          <w:p w:rsidR="0088088E" w:rsidRPr="00A87F1C" w:rsidRDefault="0088088E" w:rsidP="001437D5">
            <w:pPr>
              <w:pStyle w:val="Pieddepage"/>
              <w:rPr>
                <w:rFonts w:ascii="Calibri" w:hAnsi="Calibri" w:cs="Calibri"/>
                <w:color w:val="365F91"/>
                <w:sz w:val="16"/>
                <w:szCs w:val="16"/>
              </w:rPr>
            </w:pPr>
          </w:p>
          <w:p w:rsidR="0088088E" w:rsidRPr="00084083" w:rsidRDefault="0088088E" w:rsidP="001437D5">
            <w:pPr>
              <w:pStyle w:val="Pieddepage"/>
              <w:rPr>
                <w:rFonts w:ascii="Calibri" w:hAnsi="Calibri" w:cs="Calibri"/>
                <w:color w:val="4F81BD" w:themeColor="accent1"/>
                <w:sz w:val="16"/>
                <w:szCs w:val="16"/>
              </w:rPr>
            </w:pPr>
            <w:r w:rsidRPr="00084083">
              <w:rPr>
                <w:rFonts w:ascii="Calibri" w:hAnsi="Calibri" w:cs="Calibri"/>
                <w:color w:val="4F81BD" w:themeColor="accent1"/>
                <w:sz w:val="16"/>
                <w:szCs w:val="16"/>
              </w:rPr>
              <w:t xml:space="preserve">Rue de l’Hôtel des Monnaies 52 – 1060 Bruxelles </w:t>
            </w:r>
          </w:p>
          <w:p w:rsidR="0088088E" w:rsidRPr="00A87F1C" w:rsidRDefault="0088088E" w:rsidP="00660B80">
            <w:pPr>
              <w:pStyle w:val="Pieddepage"/>
              <w:rPr>
                <w:rFonts w:ascii="Calibri" w:hAnsi="Calibri" w:cs="Calibri"/>
                <w:color w:val="365F91"/>
                <w:sz w:val="16"/>
                <w:szCs w:val="16"/>
              </w:rPr>
            </w:pPr>
            <w:r w:rsidRPr="00084083">
              <w:rPr>
                <w:rFonts w:ascii="Calibri" w:hAnsi="Calibri" w:cs="Calibri"/>
                <w:color w:val="4F81BD" w:themeColor="accent1"/>
                <w:sz w:val="16"/>
                <w:szCs w:val="16"/>
              </w:rPr>
              <w:t>Tél. 02/543 02 97 – Fax 02/543 02 71 –</w:t>
            </w:r>
            <w:hyperlink r:id="rId12" w:history="1">
              <w:r w:rsidRPr="00084083">
                <w:rPr>
                  <w:rStyle w:val="Lienhypertexte"/>
                  <w:rFonts w:ascii="Calibri" w:hAnsi="Calibri" w:cs="Calibri"/>
                  <w:color w:val="4F81BD" w:themeColor="accent1"/>
                  <w:sz w:val="16"/>
                  <w:szCs w:val="16"/>
                </w:rPr>
                <w:t>hn@cclj.be</w:t>
              </w:r>
            </w:hyperlink>
            <w:r w:rsidRPr="00084083">
              <w:rPr>
                <w:rFonts w:ascii="Calibri" w:hAnsi="Calibri" w:cs="Calibri"/>
                <w:color w:val="4F81BD" w:themeColor="accent1"/>
                <w:sz w:val="16"/>
                <w:szCs w:val="16"/>
              </w:rPr>
              <w:t xml:space="preserve"> – </w:t>
            </w:r>
            <w:hyperlink r:id="rId13" w:history="1">
              <w:r w:rsidR="00660B80" w:rsidRPr="00084083">
                <w:rPr>
                  <w:rStyle w:val="Lienhypertexte"/>
                  <w:rFonts w:ascii="Calibri" w:hAnsi="Calibri" w:cs="Calibri"/>
                  <w:color w:val="4F81BD" w:themeColor="accent1"/>
                  <w:sz w:val="16"/>
                  <w:szCs w:val="16"/>
                </w:rPr>
                <w:t>www.lahainejedisnon.be</w:t>
              </w:r>
            </w:hyperlink>
            <w:r w:rsidR="00084083" w:rsidRPr="00084083">
              <w:rPr>
                <w:rStyle w:val="Lienhypertexte"/>
                <w:rFonts w:ascii="Calibri" w:hAnsi="Calibri" w:cs="Calibri"/>
                <w:color w:val="4F81BD" w:themeColor="accent1"/>
                <w:sz w:val="16"/>
                <w:szCs w:val="16"/>
              </w:rPr>
              <w:t xml:space="preserve"> – www.cclj.be</w:t>
            </w:r>
          </w:p>
        </w:tc>
      </w:tr>
    </w:tbl>
    <w:p w:rsidR="00AA022A" w:rsidRDefault="00AA022A" w:rsidP="00485271"/>
    <w:sectPr w:rsidR="00AA022A" w:rsidSect="00674D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66436"/>
    <w:multiLevelType w:val="hybridMultilevel"/>
    <w:tmpl w:val="81AACFA0"/>
    <w:lvl w:ilvl="0" w:tplc="D2720D7A">
      <w:start w:val="1"/>
      <w:numFmt w:val="bullet"/>
      <w:pStyle w:val="Listepuc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cs="Wingdings" w:hint="default"/>
      </w:rPr>
    </w:lvl>
  </w:abstractNum>
  <w:abstractNum w:abstractNumId="1">
    <w:nsid w:val="52137078"/>
    <w:multiLevelType w:val="hybridMultilevel"/>
    <w:tmpl w:val="3A6CC32A"/>
    <w:lvl w:ilvl="0" w:tplc="EC0416AE">
      <w:start w:val="5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A1"/>
    <w:rsid w:val="00084083"/>
    <w:rsid w:val="0033099E"/>
    <w:rsid w:val="00467E8B"/>
    <w:rsid w:val="00485271"/>
    <w:rsid w:val="00660B80"/>
    <w:rsid w:val="00674DA1"/>
    <w:rsid w:val="0088088E"/>
    <w:rsid w:val="008E2F9B"/>
    <w:rsid w:val="00AA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A1"/>
    <w:pPr>
      <w:spacing w:after="0" w:line="240" w:lineRule="auto"/>
      <w:jc w:val="both"/>
    </w:pPr>
    <w:rPr>
      <w:rFonts w:ascii="Book Antiqua" w:eastAsia="Times New Roman" w:hAnsi="Book Antiqua" w:cs="Book Antiqua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74DA1"/>
    <w:pPr>
      <w:ind w:left="720"/>
    </w:pPr>
  </w:style>
  <w:style w:type="paragraph" w:customStyle="1" w:styleId="Listepuce">
    <w:name w:val="Liste à puce"/>
    <w:basedOn w:val="Normal"/>
    <w:uiPriority w:val="99"/>
    <w:rsid w:val="00674DA1"/>
    <w:pPr>
      <w:numPr>
        <w:numId w:val="1"/>
      </w:numPr>
    </w:pPr>
  </w:style>
  <w:style w:type="character" w:styleId="Accentuation">
    <w:name w:val="Emphasis"/>
    <w:basedOn w:val="Policepardfaut"/>
    <w:uiPriority w:val="99"/>
    <w:qFormat/>
    <w:rsid w:val="00674DA1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4D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DA1"/>
    <w:rPr>
      <w:rFonts w:ascii="Tahoma" w:eastAsia="Times New Roman" w:hAnsi="Tahoma" w:cs="Tahoma"/>
      <w:sz w:val="16"/>
      <w:szCs w:val="16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8E2F9B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8808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088E"/>
    <w:rPr>
      <w:rFonts w:ascii="Book Antiqua" w:eastAsia="Times New Roman" w:hAnsi="Book Antiqua" w:cs="Book Antiqua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A1"/>
    <w:pPr>
      <w:spacing w:after="0" w:line="240" w:lineRule="auto"/>
      <w:jc w:val="both"/>
    </w:pPr>
    <w:rPr>
      <w:rFonts w:ascii="Book Antiqua" w:eastAsia="Times New Roman" w:hAnsi="Book Antiqua" w:cs="Book Antiqua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74DA1"/>
    <w:pPr>
      <w:ind w:left="720"/>
    </w:pPr>
  </w:style>
  <w:style w:type="paragraph" w:customStyle="1" w:styleId="Listepuce">
    <w:name w:val="Liste à puce"/>
    <w:basedOn w:val="Normal"/>
    <w:uiPriority w:val="99"/>
    <w:rsid w:val="00674DA1"/>
    <w:pPr>
      <w:numPr>
        <w:numId w:val="1"/>
      </w:numPr>
    </w:pPr>
  </w:style>
  <w:style w:type="character" w:styleId="Accentuation">
    <w:name w:val="Emphasis"/>
    <w:basedOn w:val="Policepardfaut"/>
    <w:uiPriority w:val="99"/>
    <w:qFormat/>
    <w:rsid w:val="00674DA1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4D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DA1"/>
    <w:rPr>
      <w:rFonts w:ascii="Tahoma" w:eastAsia="Times New Roman" w:hAnsi="Tahoma" w:cs="Tahoma"/>
      <w:sz w:val="16"/>
      <w:szCs w:val="16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8E2F9B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8808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088E"/>
    <w:rPr>
      <w:rFonts w:ascii="Book Antiqua" w:eastAsia="Times New Roman" w:hAnsi="Book Antiqua" w:cs="Book Antiqua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5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lahainejedisnon.be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hn@cclj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n@cclj.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clj.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6</cp:revision>
  <dcterms:created xsi:type="dcterms:W3CDTF">2012-09-19T09:06:00Z</dcterms:created>
  <dcterms:modified xsi:type="dcterms:W3CDTF">2012-09-19T10:00:00Z</dcterms:modified>
</cp:coreProperties>
</file>